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24B9E" w:rsidRDefault="00F24B9E">
      <w:pPr>
        <w:spacing w:line="480" w:lineRule="auto"/>
        <w:rPr>
          <w:rFonts w:ascii="Times New Roman" w:eastAsia="Times New Roman" w:hAnsi="Times New Roman" w:cs="Times New Roman"/>
        </w:rPr>
      </w:pPr>
    </w:p>
    <w:p w14:paraId="00000002" w14:textId="77777777" w:rsidR="00F24B9E" w:rsidRDefault="00F24B9E">
      <w:pPr>
        <w:spacing w:line="480" w:lineRule="auto"/>
        <w:rPr>
          <w:rFonts w:ascii="Times New Roman" w:eastAsia="Times New Roman" w:hAnsi="Times New Roman" w:cs="Times New Roman"/>
        </w:rPr>
      </w:pPr>
    </w:p>
    <w:p w14:paraId="00000003" w14:textId="77777777" w:rsidR="00F24B9E" w:rsidRDefault="00F24B9E">
      <w:pPr>
        <w:spacing w:line="480" w:lineRule="auto"/>
        <w:rPr>
          <w:rFonts w:ascii="Times New Roman" w:eastAsia="Times New Roman" w:hAnsi="Times New Roman" w:cs="Times New Roman"/>
        </w:rPr>
      </w:pPr>
    </w:p>
    <w:p w14:paraId="00000004" w14:textId="77777777" w:rsidR="00F24B9E" w:rsidRDefault="00F24B9E">
      <w:pPr>
        <w:spacing w:line="480" w:lineRule="auto"/>
        <w:rPr>
          <w:rFonts w:ascii="Times New Roman" w:eastAsia="Times New Roman" w:hAnsi="Times New Roman" w:cs="Times New Roman"/>
        </w:rPr>
      </w:pPr>
    </w:p>
    <w:p w14:paraId="00000005" w14:textId="77777777" w:rsidR="00F24B9E" w:rsidRDefault="00F24B9E">
      <w:pPr>
        <w:spacing w:line="480" w:lineRule="auto"/>
        <w:rPr>
          <w:rFonts w:ascii="Times New Roman" w:eastAsia="Times New Roman" w:hAnsi="Times New Roman" w:cs="Times New Roman"/>
        </w:rPr>
      </w:pPr>
    </w:p>
    <w:p w14:paraId="00000006" w14:textId="77777777" w:rsidR="00F24B9E" w:rsidRDefault="00F24B9E">
      <w:pPr>
        <w:spacing w:line="480" w:lineRule="auto"/>
        <w:rPr>
          <w:rFonts w:ascii="Times New Roman" w:eastAsia="Times New Roman" w:hAnsi="Times New Roman" w:cs="Times New Roman"/>
        </w:rPr>
      </w:pPr>
    </w:p>
    <w:p w14:paraId="00000007" w14:textId="77777777" w:rsidR="00F24B9E" w:rsidRDefault="00F24B9E">
      <w:pPr>
        <w:spacing w:line="480" w:lineRule="auto"/>
        <w:rPr>
          <w:rFonts w:ascii="Times New Roman" w:eastAsia="Times New Roman" w:hAnsi="Times New Roman" w:cs="Times New Roman"/>
        </w:rPr>
      </w:pPr>
    </w:p>
    <w:p w14:paraId="00000008" w14:textId="77777777" w:rsidR="00F24B9E" w:rsidRDefault="00F24B9E">
      <w:pPr>
        <w:spacing w:line="480" w:lineRule="auto"/>
        <w:rPr>
          <w:rFonts w:ascii="Times New Roman" w:eastAsia="Times New Roman" w:hAnsi="Times New Roman" w:cs="Times New Roman"/>
        </w:rPr>
      </w:pPr>
    </w:p>
    <w:p w14:paraId="00000009" w14:textId="77777777" w:rsidR="00F24B9E" w:rsidRDefault="00F24B9E">
      <w:pPr>
        <w:spacing w:line="480" w:lineRule="auto"/>
        <w:jc w:val="center"/>
        <w:rPr>
          <w:rFonts w:ascii="Times New Roman" w:eastAsia="Times New Roman" w:hAnsi="Times New Roman" w:cs="Times New Roman"/>
        </w:rPr>
      </w:pPr>
    </w:p>
    <w:p w14:paraId="0000000A" w14:textId="77777777" w:rsidR="00F24B9E" w:rsidRDefault="00000000">
      <w:pPr>
        <w:spacing w:line="480" w:lineRule="auto"/>
        <w:jc w:val="center"/>
        <w:rPr>
          <w:rFonts w:ascii="Times New Roman" w:eastAsia="Times New Roman" w:hAnsi="Times New Roman" w:cs="Times New Roman"/>
        </w:rPr>
      </w:pPr>
      <w:r>
        <w:rPr>
          <w:rFonts w:ascii="Times New Roman" w:eastAsia="Times New Roman" w:hAnsi="Times New Roman" w:cs="Times New Roman"/>
        </w:rPr>
        <w:t>FAMILY SECOND LANGUAGE ACQUISITION</w:t>
      </w:r>
    </w:p>
    <w:p w14:paraId="0000000B" w14:textId="77777777" w:rsidR="00F24B9E" w:rsidRDefault="00F24B9E">
      <w:pPr>
        <w:spacing w:line="480" w:lineRule="auto"/>
        <w:jc w:val="center"/>
        <w:rPr>
          <w:rFonts w:ascii="Times New Roman" w:eastAsia="Times New Roman" w:hAnsi="Times New Roman" w:cs="Times New Roman"/>
        </w:rPr>
      </w:pPr>
    </w:p>
    <w:p w14:paraId="0000000C" w14:textId="77777777" w:rsidR="00F24B9E" w:rsidRDefault="00000000">
      <w:pPr>
        <w:spacing w:line="480" w:lineRule="auto"/>
        <w:jc w:val="center"/>
        <w:rPr>
          <w:rFonts w:ascii="Times New Roman" w:eastAsia="Times New Roman" w:hAnsi="Times New Roman" w:cs="Times New Roman"/>
        </w:rPr>
      </w:pPr>
      <w:r>
        <w:rPr>
          <w:rFonts w:ascii="Times New Roman" w:eastAsia="Times New Roman" w:hAnsi="Times New Roman" w:cs="Times New Roman"/>
        </w:rPr>
        <w:t>Lisa Hassler</w:t>
      </w:r>
    </w:p>
    <w:p w14:paraId="0000000D" w14:textId="4EA30CAB" w:rsidR="00F24B9E" w:rsidRDefault="00000000">
      <w:pPr>
        <w:spacing w:line="480" w:lineRule="auto"/>
        <w:jc w:val="center"/>
        <w:rPr>
          <w:rFonts w:ascii="Times New Roman" w:eastAsia="Times New Roman" w:hAnsi="Times New Roman" w:cs="Times New Roman"/>
        </w:rPr>
      </w:pPr>
      <w:r>
        <w:rPr>
          <w:rFonts w:ascii="Times New Roman" w:eastAsia="Times New Roman" w:hAnsi="Times New Roman" w:cs="Times New Roman"/>
        </w:rPr>
        <w:t xml:space="preserve">University </w:t>
      </w:r>
      <w:r w:rsidR="00CE6B94">
        <w:rPr>
          <w:rFonts w:ascii="Times New Roman" w:eastAsia="Times New Roman" w:hAnsi="Times New Roman" w:cs="Times New Roman"/>
        </w:rPr>
        <w:t>o</w:t>
      </w:r>
      <w:r>
        <w:rPr>
          <w:rFonts w:ascii="Times New Roman" w:eastAsia="Times New Roman" w:hAnsi="Times New Roman" w:cs="Times New Roman"/>
        </w:rPr>
        <w:t>f South Florida Sarasota- Manatee</w:t>
      </w:r>
    </w:p>
    <w:p w14:paraId="0000000E" w14:textId="77777777" w:rsidR="00F24B9E" w:rsidRDefault="00000000">
      <w:pPr>
        <w:spacing w:line="480" w:lineRule="auto"/>
        <w:jc w:val="center"/>
        <w:rPr>
          <w:rFonts w:ascii="Times New Roman" w:eastAsia="Times New Roman" w:hAnsi="Times New Roman" w:cs="Times New Roman"/>
        </w:rPr>
      </w:pPr>
      <w:r>
        <w:rPr>
          <w:rFonts w:ascii="Times New Roman" w:eastAsia="Times New Roman" w:hAnsi="Times New Roman" w:cs="Times New Roman"/>
        </w:rPr>
        <w:t>Department of Education</w:t>
      </w:r>
    </w:p>
    <w:p w14:paraId="0000000F" w14:textId="171DE26D" w:rsidR="00F24B9E" w:rsidRDefault="00000000">
      <w:pPr>
        <w:spacing w:line="480" w:lineRule="auto"/>
        <w:jc w:val="center"/>
        <w:rPr>
          <w:rFonts w:ascii="Times New Roman" w:eastAsia="Times New Roman" w:hAnsi="Times New Roman" w:cs="Times New Roman"/>
        </w:rPr>
      </w:pPr>
      <w:r>
        <w:rPr>
          <w:rFonts w:ascii="Times New Roman" w:eastAsia="Times New Roman" w:hAnsi="Times New Roman" w:cs="Times New Roman"/>
        </w:rPr>
        <w:t>Completed: 201</w:t>
      </w:r>
      <w:r w:rsidR="0044489A">
        <w:rPr>
          <w:rFonts w:ascii="Times New Roman" w:eastAsia="Times New Roman" w:hAnsi="Times New Roman" w:cs="Times New Roman"/>
        </w:rPr>
        <w:t>8</w:t>
      </w:r>
    </w:p>
    <w:p w14:paraId="00000010" w14:textId="77777777" w:rsidR="00F24B9E" w:rsidRDefault="00F24B9E">
      <w:pPr>
        <w:spacing w:line="480" w:lineRule="auto"/>
        <w:jc w:val="center"/>
        <w:rPr>
          <w:rFonts w:ascii="Times New Roman" w:eastAsia="Times New Roman" w:hAnsi="Times New Roman" w:cs="Times New Roman"/>
        </w:rPr>
      </w:pPr>
    </w:p>
    <w:p w14:paraId="00000011" w14:textId="77777777" w:rsidR="00F24B9E" w:rsidRDefault="00000000">
      <w:pPr>
        <w:spacing w:line="480" w:lineRule="auto"/>
        <w:jc w:val="center"/>
        <w:rPr>
          <w:rFonts w:ascii="Times New Roman" w:eastAsia="Times New Roman" w:hAnsi="Times New Roman" w:cs="Times New Roman"/>
        </w:rPr>
      </w:pPr>
      <w:r>
        <w:rPr>
          <w:rFonts w:ascii="Times New Roman" w:eastAsia="Times New Roman" w:hAnsi="Times New Roman" w:cs="Times New Roman"/>
        </w:rPr>
        <w:t>Author Note</w:t>
      </w:r>
    </w:p>
    <w:p w14:paraId="00000012" w14:textId="6523C199" w:rsidR="00F24B9E"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 xml:space="preserve">This paper was originally published under </w:t>
      </w:r>
      <w:r w:rsidR="00677A1F">
        <w:rPr>
          <w:rFonts w:ascii="Times New Roman" w:eastAsia="Times New Roman" w:hAnsi="Times New Roman" w:cs="Times New Roman"/>
        </w:rPr>
        <w:t xml:space="preserve">the name </w:t>
      </w:r>
      <w:r>
        <w:rPr>
          <w:rFonts w:ascii="Times New Roman" w:eastAsia="Times New Roman" w:hAnsi="Times New Roman" w:cs="Times New Roman"/>
        </w:rPr>
        <w:t>Lisa Richardson as part of the requirements for the Master of Arts in Education program at the University of South Florida Sarasota-Manatee. It is preserved in the National Louis University institutional repository for scholarly reference and archival purposes.</w:t>
      </w:r>
    </w:p>
    <w:p w14:paraId="00000013" w14:textId="77777777" w:rsidR="00F24B9E" w:rsidRDefault="00F24B9E">
      <w:pPr>
        <w:spacing w:line="480" w:lineRule="auto"/>
        <w:rPr>
          <w:rFonts w:ascii="Times New Roman" w:eastAsia="Times New Roman" w:hAnsi="Times New Roman" w:cs="Times New Roman"/>
        </w:rPr>
      </w:pPr>
    </w:p>
    <w:p w14:paraId="00000014" w14:textId="77777777" w:rsidR="00F24B9E" w:rsidRDefault="00000000">
      <w:pPr>
        <w:spacing w:line="480" w:lineRule="auto"/>
        <w:jc w:val="center"/>
        <w:rPr>
          <w:rFonts w:ascii="Times New Roman" w:eastAsia="Times New Roman" w:hAnsi="Times New Roman" w:cs="Times New Roman"/>
        </w:rPr>
      </w:pPr>
      <w:r>
        <w:rPr>
          <w:rFonts w:ascii="Times New Roman" w:eastAsia="Times New Roman" w:hAnsi="Times New Roman" w:cs="Times New Roman"/>
        </w:rPr>
        <w:t>Contact: drlisahassler@gmail.com</w:t>
      </w:r>
    </w:p>
    <w:p w14:paraId="00000015" w14:textId="6251F1AB" w:rsidR="00AA6376" w:rsidRDefault="00AA6376" w:rsidP="00AA6376">
      <w:pPr>
        <w:spacing w:line="480" w:lineRule="auto"/>
        <w:jc w:val="center"/>
        <w:rPr>
          <w:rFonts w:ascii="Times New Roman" w:eastAsia="Times New Roman" w:hAnsi="Times New Roman" w:cs="Times New Roman"/>
        </w:rPr>
      </w:pPr>
      <w:r>
        <w:rPr>
          <w:rFonts w:ascii="Times New Roman" w:eastAsia="Times New Roman" w:hAnsi="Times New Roman" w:cs="Times New Roman"/>
        </w:rPr>
        <w:lastRenderedPageBreak/>
        <w:t>ABSTRACT</w:t>
      </w:r>
    </w:p>
    <w:p w14:paraId="6C8EE0B7" w14:textId="77777777" w:rsidR="00AA6376" w:rsidRDefault="00AA6376" w:rsidP="00AA6376">
      <w:pPr>
        <w:spacing w:line="480" w:lineRule="auto"/>
        <w:jc w:val="center"/>
        <w:rPr>
          <w:rFonts w:ascii="Times New Roman" w:eastAsia="Times New Roman" w:hAnsi="Times New Roman" w:cs="Times New Roman"/>
        </w:rPr>
      </w:pPr>
    </w:p>
    <w:p w14:paraId="77F2B606" w14:textId="77777777" w:rsidR="00AA6376" w:rsidRPr="00AA6376" w:rsidRDefault="00AA6376" w:rsidP="00AA6376">
      <w:pPr>
        <w:spacing w:line="480" w:lineRule="auto"/>
        <w:rPr>
          <w:rFonts w:ascii="Times New Roman" w:eastAsia="Times New Roman" w:hAnsi="Times New Roman" w:cs="Times New Roman"/>
          <w:lang w:val="en-US"/>
        </w:rPr>
      </w:pPr>
      <w:r w:rsidRPr="00AA6376">
        <w:rPr>
          <w:rFonts w:ascii="Times New Roman" w:eastAsia="Times New Roman" w:hAnsi="Times New Roman" w:cs="Times New Roman"/>
          <w:lang w:val="en-US"/>
        </w:rPr>
        <w:t>Family learning can play an important role in second language acquisition, especially for immigrant families adjusting to new linguistic and social environments. This paper examines how internal family support systems influence second language acquisition and how learning together as a family may contribute to increased motivation, literacy development, and socioeconomic opportunity. Research from family literacy programs and immigrant communities suggests that families who engage in collective learning benefit from shared experiences, meaningful communication, and mutual support. Family members often assist one another through everyday literacy activities such as translating, reading, and discussing information relevant to their daily lives. These shared practices help reinforce language development while also strengthening family relationships and confidence. Additionally, culturally meaningful learning environments and supportive community spaces can increase participation and engagement. The findings suggest that when families learn together, they create internal support structures that enhance second language acquisition and contribute to greater social and educational opportunities.</w:t>
      </w:r>
    </w:p>
    <w:p w14:paraId="538EABE3" w14:textId="77777777" w:rsidR="00AA6376" w:rsidRDefault="00AA6376" w:rsidP="00AA6376">
      <w:pPr>
        <w:spacing w:line="480" w:lineRule="auto"/>
        <w:jc w:val="both"/>
        <w:rPr>
          <w:rFonts w:ascii="Times New Roman" w:eastAsia="Times New Roman" w:hAnsi="Times New Roman" w:cs="Times New Roman"/>
        </w:rPr>
      </w:pPr>
    </w:p>
    <w:p w14:paraId="45A99F6F" w14:textId="77777777" w:rsidR="00AA6376" w:rsidRPr="00AA6376" w:rsidRDefault="00AA6376" w:rsidP="00AA6376">
      <w:pPr>
        <w:spacing w:line="480" w:lineRule="auto"/>
        <w:rPr>
          <w:rFonts w:ascii="Times New Roman" w:eastAsia="Times New Roman" w:hAnsi="Times New Roman" w:cs="Times New Roman"/>
          <w:lang w:val="en-US"/>
        </w:rPr>
      </w:pPr>
      <w:r w:rsidRPr="00AA6376">
        <w:rPr>
          <w:rFonts w:ascii="Times New Roman" w:eastAsia="Times New Roman" w:hAnsi="Times New Roman" w:cs="Times New Roman"/>
          <w:lang w:val="en-US"/>
        </w:rPr>
        <w:t>Keywords: family literacy, second language acquisition, immigrant families, family support, social capital, language learning, literacy development, family learning</w:t>
      </w:r>
    </w:p>
    <w:p w14:paraId="79B50352" w14:textId="6019D017" w:rsidR="00F24B9E" w:rsidRDefault="00AA6376" w:rsidP="00AA6376">
      <w:pPr>
        <w:rPr>
          <w:rFonts w:ascii="Times New Roman" w:eastAsia="Times New Roman" w:hAnsi="Times New Roman" w:cs="Times New Roman"/>
        </w:rPr>
      </w:pPr>
      <w:r>
        <w:rPr>
          <w:rFonts w:ascii="Times New Roman" w:eastAsia="Times New Roman" w:hAnsi="Times New Roman" w:cs="Times New Roman"/>
        </w:rPr>
        <w:br w:type="page"/>
      </w:r>
    </w:p>
    <w:p w14:paraId="686C8BC6" w14:textId="77777777" w:rsidR="00AA6376" w:rsidRDefault="00AA6376" w:rsidP="00AA6376">
      <w:pPr>
        <w:spacing w:line="480" w:lineRule="auto"/>
        <w:jc w:val="center"/>
        <w:rPr>
          <w:rFonts w:ascii="Times New Roman" w:eastAsia="Times New Roman" w:hAnsi="Times New Roman" w:cs="Times New Roman"/>
        </w:rPr>
      </w:pPr>
      <w:r>
        <w:rPr>
          <w:rFonts w:ascii="Times New Roman" w:eastAsia="Times New Roman" w:hAnsi="Times New Roman" w:cs="Times New Roman"/>
        </w:rPr>
        <w:lastRenderedPageBreak/>
        <w:t>FAMILY SECOND LANGUAGE ACQUISITION</w:t>
      </w:r>
    </w:p>
    <w:p w14:paraId="2168E641" w14:textId="77777777" w:rsidR="00AA6376" w:rsidRDefault="00AA6376">
      <w:pPr>
        <w:spacing w:line="480" w:lineRule="auto"/>
        <w:rPr>
          <w:rFonts w:ascii="Times New Roman" w:eastAsia="Times New Roman" w:hAnsi="Times New Roman" w:cs="Times New Roman"/>
        </w:rPr>
      </w:pPr>
    </w:p>
    <w:p w14:paraId="00000016" w14:textId="273B1A33" w:rsidR="00F24B9E"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Analysis</w:t>
      </w:r>
    </w:p>
    <w:p w14:paraId="00000017" w14:textId="77777777" w:rsidR="00F24B9E"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 xml:space="preserve">Family learning is a type of learning, which occurs as a unit in a common area.  The purpose of this research is to study the effects of families with internal support systems in second language acquisition compared to families without for socioeconomic gain.  </w:t>
      </w:r>
    </w:p>
    <w:p w14:paraId="00000018" w14:textId="77777777" w:rsidR="00F24B9E"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When referring to internal support systems, it is intended to mean that the family is learning together as a cohesive unit, rather than a family learning a second language in separate spaces independent from one another.  If a child is learning English at school, and a parent is learning English at work through daily interactions, or with a class, then the activities are not connected.  Whole family instruction led by a single instructor could enhance learning by using the support of siblings and multigenerational knowledge.  Additionally, motivation is a key factor for learning a second language.  Will a family be more successful if their learning is motivated to increase their socioeconomic status?   To analyze this, we must first compare what programs are out there and their success.</w:t>
      </w:r>
    </w:p>
    <w:p w14:paraId="00000019" w14:textId="78ED7541" w:rsidR="00F24B9E"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 xml:space="preserve">The evidence provided here stems mainly from qualitative studies in journals that show the positive effects of learning together as a unit.  Family learning has been typically targeted through the school systems </w:t>
      </w:r>
      <w:r w:rsidR="00677A1F">
        <w:rPr>
          <w:rFonts w:ascii="Times New Roman" w:eastAsia="Times New Roman" w:hAnsi="Times New Roman" w:cs="Times New Roman"/>
        </w:rPr>
        <w:t>to</w:t>
      </w:r>
      <w:r>
        <w:rPr>
          <w:rFonts w:ascii="Times New Roman" w:eastAsia="Times New Roman" w:hAnsi="Times New Roman" w:cs="Times New Roman"/>
        </w:rPr>
        <w:t xml:space="preserve"> support the student and assist the families.  </w:t>
      </w:r>
    </w:p>
    <w:p w14:paraId="0000001A" w14:textId="77777777" w:rsidR="00F24B9E" w:rsidRDefault="00F24B9E">
      <w:pPr>
        <w:spacing w:line="480" w:lineRule="auto"/>
        <w:rPr>
          <w:rFonts w:ascii="Times New Roman" w:eastAsia="Times New Roman" w:hAnsi="Times New Roman" w:cs="Times New Roman"/>
        </w:rPr>
      </w:pPr>
    </w:p>
    <w:p w14:paraId="0000001B" w14:textId="77777777" w:rsidR="00F24B9E"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Family Literacy Programs</w:t>
      </w:r>
    </w:p>
    <w:p w14:paraId="0000001C" w14:textId="77777777" w:rsidR="00F24B9E"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 xml:space="preserve">The UK’s government family literacy program uses teachers and nursery care providers to target prospective families and use their public spaces.  However, it is then left to a community teacher, as they are referred to, to meet and greet with the parents in casual ways like morning coffee </w:t>
      </w:r>
      <w:r>
        <w:rPr>
          <w:rFonts w:ascii="Times New Roman" w:eastAsia="Times New Roman" w:hAnsi="Times New Roman" w:cs="Times New Roman"/>
        </w:rPr>
        <w:lastRenderedPageBreak/>
        <w:t xml:space="preserve">talks to make them feel comfortable, get to know their needs, and gain their participation (Wainwright and </w:t>
      </w:r>
      <w:proofErr w:type="spellStart"/>
      <w:r>
        <w:rPr>
          <w:rFonts w:ascii="Times New Roman" w:eastAsia="Times New Roman" w:hAnsi="Times New Roman" w:cs="Times New Roman"/>
        </w:rPr>
        <w:t>Marandet</w:t>
      </w:r>
      <w:proofErr w:type="spellEnd"/>
      <w:r>
        <w:rPr>
          <w:rFonts w:ascii="Times New Roman" w:eastAsia="Times New Roman" w:hAnsi="Times New Roman" w:cs="Times New Roman"/>
        </w:rPr>
        <w:t xml:space="preserve">, 2013).  They have found these programs successful by having parents make community connections and increase involvement in their child’s education.  However, some people feel targeted as it pertains to their class, migrant status, and ethnicity (Wainwright and </w:t>
      </w:r>
      <w:proofErr w:type="spellStart"/>
      <w:r>
        <w:rPr>
          <w:rFonts w:ascii="Times New Roman" w:eastAsia="Times New Roman" w:hAnsi="Times New Roman" w:cs="Times New Roman"/>
        </w:rPr>
        <w:t>Marandet</w:t>
      </w:r>
      <w:proofErr w:type="spellEnd"/>
      <w:r>
        <w:rPr>
          <w:rFonts w:ascii="Times New Roman" w:eastAsia="Times New Roman" w:hAnsi="Times New Roman" w:cs="Times New Roman"/>
        </w:rPr>
        <w:t xml:space="preserve">, 2013).  This is good to know, because the schools can intimidate immigrants, and they may not want to participate.  Having them eased into being on their child’s school grounds with a casual coffee chat would encourage continued participation.  </w:t>
      </w:r>
    </w:p>
    <w:p w14:paraId="0000001D" w14:textId="77777777" w:rsidR="00F24B9E"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 xml:space="preserve">On the other hand, Collier and Auerbach’s (2011) study of family literacy programs in four California public schools, found failure in these types of family literacy programs in a school environment.  This is when programs focused on the content and curriculum teaching and learning in a school context of English only.  They recommended making more cultural and personal connections with the families.  Early (2017) also supports drawing on funds of knowledge from family members.  Her study showed success when English mechanics were avoided and focus was placed on, “honoring language, culture, and story.”   Family members in this study and program had the ability to choose what language to speak in at the classes.  This made families more comfortable and more apt to participate.  </w:t>
      </w:r>
    </w:p>
    <w:p w14:paraId="0000001E" w14:textId="1CAC1172" w:rsidR="00F24B9E"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 xml:space="preserve">Chao and </w:t>
      </w:r>
      <w:proofErr w:type="spellStart"/>
      <w:r>
        <w:rPr>
          <w:rFonts w:ascii="Times New Roman" w:eastAsia="Times New Roman" w:hAnsi="Times New Roman" w:cs="Times New Roman"/>
        </w:rPr>
        <w:t>Mantero</w:t>
      </w:r>
      <w:proofErr w:type="spellEnd"/>
      <w:r>
        <w:rPr>
          <w:rFonts w:ascii="Times New Roman" w:eastAsia="Times New Roman" w:hAnsi="Times New Roman" w:cs="Times New Roman"/>
        </w:rPr>
        <w:t xml:space="preserve"> (2014) reported success with family literacy practices in church spaces.  There, families read and listen to religious materials that draw them closer to their faith with family-together activities.  </w:t>
      </w:r>
      <w:r w:rsidR="00677A1F">
        <w:rPr>
          <w:rFonts w:ascii="Times New Roman" w:eastAsia="Times New Roman" w:hAnsi="Times New Roman" w:cs="Times New Roman"/>
        </w:rPr>
        <w:t>These supports</w:t>
      </w:r>
      <w:r>
        <w:rPr>
          <w:rFonts w:ascii="Times New Roman" w:eastAsia="Times New Roman" w:hAnsi="Times New Roman" w:cs="Times New Roman"/>
        </w:rPr>
        <w:t xml:space="preserve"> integrating family interests and culture into the learning to make it successful.  </w:t>
      </w:r>
    </w:p>
    <w:p w14:paraId="0000001F" w14:textId="1DC9A14F" w:rsidR="00F24B9E"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 xml:space="preserve">Wainwright and </w:t>
      </w:r>
      <w:proofErr w:type="spellStart"/>
      <w:r>
        <w:rPr>
          <w:rFonts w:ascii="Times New Roman" w:eastAsia="Times New Roman" w:hAnsi="Times New Roman" w:cs="Times New Roman"/>
        </w:rPr>
        <w:t>Marandet</w:t>
      </w:r>
      <w:proofErr w:type="spellEnd"/>
      <w:r>
        <w:rPr>
          <w:rFonts w:ascii="Times New Roman" w:eastAsia="Times New Roman" w:hAnsi="Times New Roman" w:cs="Times New Roman"/>
        </w:rPr>
        <w:t xml:space="preserve"> (2013) conducted a 12-month study by the British Academy in West </w:t>
      </w:r>
      <w:r w:rsidR="00677A1F">
        <w:rPr>
          <w:rFonts w:ascii="Times New Roman" w:eastAsia="Times New Roman" w:hAnsi="Times New Roman" w:cs="Times New Roman"/>
        </w:rPr>
        <w:t>London and</w:t>
      </w:r>
      <w:r>
        <w:rPr>
          <w:rFonts w:ascii="Times New Roman" w:eastAsia="Times New Roman" w:hAnsi="Times New Roman" w:cs="Times New Roman"/>
        </w:rPr>
        <w:t xml:space="preserve"> found that government policies targeted immigrant mothers with a hook of becoming better parents and increasing social mobility.  Fathers had not taken an active role in </w:t>
      </w:r>
      <w:r>
        <w:rPr>
          <w:rFonts w:ascii="Times New Roman" w:eastAsia="Times New Roman" w:hAnsi="Times New Roman" w:cs="Times New Roman"/>
        </w:rPr>
        <w:lastRenderedPageBreak/>
        <w:t>participating in these family learning programs, even though there have been efforts to include them.  One rationale was that mothers are still seen as the natural teachers and caretakers of the family and that there is a division of labor when concerned with gender roles in families.</w:t>
      </w:r>
    </w:p>
    <w:p w14:paraId="00000020" w14:textId="77777777" w:rsidR="00F24B9E" w:rsidRDefault="00F24B9E">
      <w:pPr>
        <w:spacing w:line="480" w:lineRule="auto"/>
        <w:rPr>
          <w:rFonts w:ascii="Times New Roman" w:eastAsia="Times New Roman" w:hAnsi="Times New Roman" w:cs="Times New Roman"/>
        </w:rPr>
      </w:pPr>
    </w:p>
    <w:p w14:paraId="00000021" w14:textId="77777777" w:rsidR="00F24B9E"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The Importance of Collective Spaces</w:t>
      </w:r>
    </w:p>
    <w:p w14:paraId="00000022" w14:textId="77777777" w:rsidR="00F24B9E"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What if these programs intimidate families?  What other creative spaces besides schools, nurseries, or churches have been used, and are they successful?</w:t>
      </w:r>
    </w:p>
    <w:p w14:paraId="00000023" w14:textId="77777777" w:rsidR="00F24B9E"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 xml:space="preserve">Dixon and Wu (2014) found that parent involvement in family literacy programs in London with immigrants were successful in three unique types of collective spaces:  a home-visit program, a doctor’s office, and a government nutrition program office.  </w:t>
      </w:r>
    </w:p>
    <w:p w14:paraId="00000024" w14:textId="77777777" w:rsidR="00F24B9E"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 xml:space="preserve">The home-visit program participants felt more comfortable to meet in their home rather than meeting in strange locations with other programs or at school.  They felt that it was because they were on their familiar home turf.  Immigrant families felt safe and comfortable there.  This increased involvement with whole family language learning led by a single instructor.  </w:t>
      </w:r>
    </w:p>
    <w:p w14:paraId="00000025" w14:textId="56890039" w:rsidR="00F24B9E"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 xml:space="preserve">Additionally, there was a positive reaction from families with a library being established with a librarian, in a medical clinic, that took, “low-quality wait time into high-quality parent-child literacy time,” (Dixon and Wu, 2014).  Families could interact with the librarian and </w:t>
      </w:r>
      <w:r w:rsidR="00677A1F">
        <w:rPr>
          <w:rFonts w:ascii="Times New Roman" w:eastAsia="Times New Roman" w:hAnsi="Times New Roman" w:cs="Times New Roman"/>
        </w:rPr>
        <w:t>take-home</w:t>
      </w:r>
      <w:r>
        <w:rPr>
          <w:rFonts w:ascii="Times New Roman" w:eastAsia="Times New Roman" w:hAnsi="Times New Roman" w:cs="Times New Roman"/>
        </w:rPr>
        <w:t xml:space="preserve"> books in a bag.  Librarians could also assist in finding appropriate book levels for them and their children, along with giving parents some literacy tips on how to read to and with their children.  </w:t>
      </w:r>
    </w:p>
    <w:p w14:paraId="00000026" w14:textId="77777777" w:rsidR="00F24B9E"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Finally, the literacy activities in a government nutrition office found that parents and children enjoyed integrating parent’s prior knowledge in traditional properties of herbs.  Parents felt valued for their knowledge, which increased engagement, and ultimately increased learning of the second language.</w:t>
      </w:r>
    </w:p>
    <w:p w14:paraId="00000027" w14:textId="77777777" w:rsidR="00F24B9E"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lastRenderedPageBreak/>
        <w:t xml:space="preserve">It is encouraging to see that government spaces can be used for new ways to reach out to immigrant families, make them feel comfortable, assist in learning effective literacy practices, and build on parent’s funds of knowledge.  </w:t>
      </w:r>
    </w:p>
    <w:p w14:paraId="00000028" w14:textId="77777777" w:rsidR="00F24B9E"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The limitations for the doctor’s office and nutrition office may be that the whole family would not be present.  Dixon and Wu state that most studies are focused on the mother-child literacy activities more than with fathers or other adults.  They suggest that further research be done on, “the roles of fathers, siblings, and other relatives in children’s literacy development.  These additional participants in home literacy may help us design more inclusive home literacy programs,” (2014).</w:t>
      </w:r>
    </w:p>
    <w:p w14:paraId="00000029" w14:textId="77777777" w:rsidR="00F24B9E" w:rsidRDefault="00F24B9E">
      <w:pPr>
        <w:spacing w:line="480" w:lineRule="auto"/>
        <w:rPr>
          <w:rFonts w:ascii="Times New Roman" w:eastAsia="Times New Roman" w:hAnsi="Times New Roman" w:cs="Times New Roman"/>
        </w:rPr>
      </w:pPr>
    </w:p>
    <w:p w14:paraId="0000002A" w14:textId="77777777" w:rsidR="00F24B9E"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Internal Support Structure</w:t>
      </w:r>
    </w:p>
    <w:p w14:paraId="0000002B" w14:textId="77777777" w:rsidR="00F24B9E"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 xml:space="preserve">Haneda found that the internal support structure in a family with out-of-school literacy activities and practices went beyond just parent to child (2006).  She found that siblings, cousins, and extended family members collaboratively participated in these activities in home community areas like the kitchen or living room.  </w:t>
      </w:r>
    </w:p>
    <w:p w14:paraId="0000002C" w14:textId="35AFA0DA" w:rsidR="00F24B9E"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w:t>
      </w:r>
      <w:r w:rsidR="00E43AC8">
        <w:rPr>
          <w:rFonts w:ascii="Times New Roman" w:eastAsia="Times New Roman" w:hAnsi="Times New Roman" w:cs="Times New Roman"/>
        </w:rPr>
        <w:t>Paraphrasing</w:t>
      </w:r>
      <w:r>
        <w:rPr>
          <w:rFonts w:ascii="Times New Roman" w:eastAsia="Times New Roman" w:hAnsi="Times New Roman" w:cs="Times New Roman"/>
        </w:rPr>
        <w:t xml:space="preserve">” is also being used in immigrant households by the children, to their parents, aunts, uncles, and grandparents in the forms of translating letters, forms, labels, news, and fictional writings.  This evidence supports the theory behind the success of having the internal support structure of whole family </w:t>
      </w:r>
      <w:r w:rsidR="00677A1F">
        <w:rPr>
          <w:rFonts w:ascii="Times New Roman" w:eastAsia="Times New Roman" w:hAnsi="Times New Roman" w:cs="Times New Roman"/>
        </w:rPr>
        <w:t>learning and</w:t>
      </w:r>
      <w:r>
        <w:rPr>
          <w:rFonts w:ascii="Times New Roman" w:eastAsia="Times New Roman" w:hAnsi="Times New Roman" w:cs="Times New Roman"/>
        </w:rPr>
        <w:t xml:space="preserve"> gives a model that it is not only possible, but is happening already, only without an instructor.  Furthermore, it is important to note that these types of reading material are meaningful to the family, which motivates the increase in participation.  Wanting or needing to know the information because it directly affects them, makes the entire family motivated to learn a second language from each other.   </w:t>
      </w:r>
    </w:p>
    <w:p w14:paraId="0000002D" w14:textId="77777777" w:rsidR="00F24B9E" w:rsidRDefault="00F24B9E">
      <w:pPr>
        <w:spacing w:line="480" w:lineRule="auto"/>
        <w:rPr>
          <w:rFonts w:ascii="Times New Roman" w:eastAsia="Times New Roman" w:hAnsi="Times New Roman" w:cs="Times New Roman"/>
        </w:rPr>
      </w:pPr>
    </w:p>
    <w:p w14:paraId="0000002E" w14:textId="77777777" w:rsidR="00F24B9E"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Social Capital</w:t>
      </w:r>
    </w:p>
    <w:p w14:paraId="0000002F" w14:textId="60B0020B" w:rsidR="00F24B9E" w:rsidRDefault="00000000">
      <w:pPr>
        <w:spacing w:line="480" w:lineRule="auto"/>
        <w:rPr>
          <w:rFonts w:ascii="Times New Roman" w:eastAsia="Times New Roman" w:hAnsi="Times New Roman" w:cs="Times New Roman"/>
        </w:rPr>
      </w:pPr>
      <w:bookmarkStart w:id="0" w:name="_heading=h.71clcucf55i8" w:colFirst="0" w:colLast="0"/>
      <w:bookmarkEnd w:id="0"/>
      <w:r>
        <w:rPr>
          <w:rFonts w:ascii="Times New Roman" w:eastAsia="Times New Roman" w:hAnsi="Times New Roman" w:cs="Times New Roman"/>
        </w:rPr>
        <w:t xml:space="preserve">Stevens and Patel’s (2015) research support Coleman’s social theory with their view on generativity and social capital.  They found that they are not separate areas of one life, but rather they work together to increase opportunities in social networks.   Li’s (2007) findings in his study in Canada with four Chinese families, found that the increase of family capital (physical, human, and social) reflected the quality of the child’s parent involvement and home environment.  While some families were motivated by higher education and improved job status, now and in the future for their families, other families were motivated by the necessity of being able to run a business and communicate with customers.  The purpose of learning the language made a difference as to what was used to increase literacy.  All families saw that by improving family capital in one of these areas it increased </w:t>
      </w:r>
      <w:r w:rsidR="00677A1F">
        <w:rPr>
          <w:rFonts w:ascii="Times New Roman" w:eastAsia="Times New Roman" w:hAnsi="Times New Roman" w:cs="Times New Roman"/>
        </w:rPr>
        <w:t>all</w:t>
      </w:r>
      <w:r>
        <w:rPr>
          <w:rFonts w:ascii="Times New Roman" w:eastAsia="Times New Roman" w:hAnsi="Times New Roman" w:cs="Times New Roman"/>
        </w:rPr>
        <w:t xml:space="preserve"> the areas.  This is interesting, because if families knew that these types of capital were important, they could focus on them </w:t>
      </w:r>
      <w:r w:rsidR="00677A1F">
        <w:rPr>
          <w:rFonts w:ascii="Times New Roman" w:eastAsia="Times New Roman" w:hAnsi="Times New Roman" w:cs="Times New Roman"/>
        </w:rPr>
        <w:t>to</w:t>
      </w:r>
      <w:r>
        <w:rPr>
          <w:rFonts w:ascii="Times New Roman" w:eastAsia="Times New Roman" w:hAnsi="Times New Roman" w:cs="Times New Roman"/>
        </w:rPr>
        <w:t xml:space="preserve"> increase their socio-economic status.  Acquiring a second language could assist in this.</w:t>
      </w:r>
    </w:p>
    <w:p w14:paraId="00000030" w14:textId="7160C81E" w:rsidR="00F24B9E"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 xml:space="preserve">The Karen refugee women participated in a family literacy learning program </w:t>
      </w:r>
      <w:r w:rsidR="00677A1F">
        <w:rPr>
          <w:rFonts w:ascii="Times New Roman" w:eastAsia="Times New Roman" w:hAnsi="Times New Roman" w:cs="Times New Roman"/>
        </w:rPr>
        <w:t>to</w:t>
      </w:r>
      <w:r>
        <w:rPr>
          <w:rFonts w:ascii="Times New Roman" w:eastAsia="Times New Roman" w:hAnsi="Times New Roman" w:cs="Times New Roman"/>
        </w:rPr>
        <w:t xml:space="preserve"> increase their community involvement and aid in attaining employment.  This aided in their feelings of isolation leaving and empowering them to be more independent (Quadros and </w:t>
      </w:r>
      <w:proofErr w:type="spellStart"/>
      <w:r>
        <w:rPr>
          <w:rFonts w:ascii="Times New Roman" w:eastAsia="Times New Roman" w:hAnsi="Times New Roman" w:cs="Times New Roman"/>
        </w:rPr>
        <w:t>Sarroub</w:t>
      </w:r>
      <w:proofErr w:type="spellEnd"/>
      <w:r>
        <w:rPr>
          <w:rFonts w:ascii="Times New Roman" w:eastAsia="Times New Roman" w:hAnsi="Times New Roman" w:cs="Times New Roman"/>
        </w:rPr>
        <w:t xml:space="preserve">, (2016).  </w:t>
      </w:r>
      <w:r w:rsidR="00677A1F">
        <w:rPr>
          <w:rFonts w:ascii="Times New Roman" w:eastAsia="Times New Roman" w:hAnsi="Times New Roman" w:cs="Times New Roman"/>
        </w:rPr>
        <w:t>Hope (2011)</w:t>
      </w:r>
      <w:r>
        <w:rPr>
          <w:rFonts w:ascii="Times New Roman" w:eastAsia="Times New Roman" w:hAnsi="Times New Roman" w:cs="Times New Roman"/>
        </w:rPr>
        <w:t xml:space="preserve"> also studied refugees and family literacy programs and found that if the learning acknowledged and built on the migrant’s strengths as a socio-cultural activity, it would improve language learning and encourage empowerment.  Therefore, using transcultural capital, which blends the migrant’s history with their possibilities in the future increases not only their emotional well-being, but their language fluency (education) as well.  </w:t>
      </w:r>
    </w:p>
    <w:p w14:paraId="00000031" w14:textId="77777777" w:rsidR="00F24B9E" w:rsidRDefault="00F24B9E">
      <w:pPr>
        <w:spacing w:line="480" w:lineRule="auto"/>
        <w:rPr>
          <w:rFonts w:ascii="Times New Roman" w:eastAsia="Times New Roman" w:hAnsi="Times New Roman" w:cs="Times New Roman"/>
        </w:rPr>
      </w:pPr>
    </w:p>
    <w:p w14:paraId="00000032" w14:textId="77777777" w:rsidR="00F24B9E"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lastRenderedPageBreak/>
        <w:t>Language Learning and Acquisition</w:t>
      </w:r>
    </w:p>
    <w:p w14:paraId="00000033" w14:textId="77777777" w:rsidR="00F24B9E"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 xml:space="preserve">When considering best practices for family literacy programs and uses of internal support systems, the matter of curriculum comes up.  Do second language learners prefer strategies that support whole family language learning or acquisition strategies?  In the study by </w:t>
      </w:r>
      <w:proofErr w:type="spellStart"/>
      <w:r>
        <w:rPr>
          <w:rFonts w:ascii="Times New Roman" w:eastAsia="Times New Roman" w:hAnsi="Times New Roman" w:cs="Times New Roman"/>
        </w:rPr>
        <w:t>Altmisdort</w:t>
      </w:r>
      <w:proofErr w:type="spellEnd"/>
      <w:r>
        <w:rPr>
          <w:rFonts w:ascii="Times New Roman" w:eastAsia="Times New Roman" w:hAnsi="Times New Roman" w:cs="Times New Roman"/>
        </w:rPr>
        <w:t xml:space="preserve"> (2016), successful students preferred the acquisition strategies, which focused on the use of authentic materials, music, film, and reading.  Additionally, they were highly motivated to learn the language.  These are strategies and activities that can be collectively completed by whole families capitalizing on their strengths with internal support systems and high motivation.</w:t>
      </w:r>
    </w:p>
    <w:p w14:paraId="00000034" w14:textId="77777777" w:rsidR="00F24B9E" w:rsidRDefault="00F24B9E">
      <w:pPr>
        <w:spacing w:line="480" w:lineRule="auto"/>
        <w:rPr>
          <w:rFonts w:ascii="Times New Roman" w:eastAsia="Times New Roman" w:hAnsi="Times New Roman" w:cs="Times New Roman"/>
        </w:rPr>
      </w:pPr>
    </w:p>
    <w:p w14:paraId="00000035" w14:textId="77777777" w:rsidR="00F24B9E" w:rsidRDefault="00F24B9E">
      <w:pPr>
        <w:spacing w:line="480" w:lineRule="auto"/>
        <w:rPr>
          <w:rFonts w:ascii="Times New Roman" w:eastAsia="Times New Roman" w:hAnsi="Times New Roman" w:cs="Times New Roman"/>
        </w:rPr>
      </w:pPr>
    </w:p>
    <w:p w14:paraId="00000036" w14:textId="77777777" w:rsidR="00F24B9E"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 xml:space="preserve"> </w:t>
      </w:r>
    </w:p>
    <w:sectPr w:rsidR="00F24B9E" w:rsidSect="00CE6B94">
      <w:headerReference w:type="even" r:id="rId7"/>
      <w:headerReference w:type="default" r:id="rId8"/>
      <w:footerReference w:type="default" r:id="rId9"/>
      <w:pgSz w:w="12240" w:h="15840"/>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9AA4C9" w14:textId="77777777" w:rsidR="00F0281E" w:rsidRDefault="00F0281E">
      <w:r>
        <w:separator/>
      </w:r>
    </w:p>
  </w:endnote>
  <w:endnote w:type="continuationSeparator" w:id="0">
    <w:p w14:paraId="4209EF38" w14:textId="77777777" w:rsidR="00F0281E" w:rsidRDefault="00F02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embedRegular r:id="rId1" w:fontKey="{7B6DB606-B6E5-C347-93F2-855DB92819D6}"/>
    <w:embedBold r:id="rId2" w:fontKey="{92CB3A56-BD69-2943-8E68-D0BC120003FA}"/>
  </w:font>
  <w:font w:name="Calibri">
    <w:panose1 w:val="020F0502020204030204"/>
    <w:charset w:val="00"/>
    <w:family w:val="swiss"/>
    <w:pitch w:val="variable"/>
    <w:sig w:usb0="E4002EFF" w:usb1="C000247B" w:usb2="00000009" w:usb3="00000000" w:csb0="000001FF" w:csb1="00000000"/>
    <w:embedRegular r:id="rId3" w:fontKey="{F85AD08C-A7FA-BA4D-A2F0-56940126F325}"/>
    <w:embedBold r:id="rId4" w:fontKey="{13302207-C7E9-1442-B317-D3792BA4AB68}"/>
  </w:font>
  <w:font w:name="Times New Roman">
    <w:panose1 w:val="02020603050405020304"/>
    <w:charset w:val="00"/>
    <w:family w:val="roman"/>
    <w:pitch w:val="variable"/>
    <w:sig w:usb0="E0002EFF" w:usb1="C000785B" w:usb2="00000009" w:usb3="00000000" w:csb0="000001FF" w:csb1="00000000"/>
    <w:embedRegular r:id="rId5" w:fontKey="{61903EBD-383F-C746-AC5B-2EA7660F40FB}"/>
    <w:embedBold r:id="rId6" w:fontKey="{A847F183-2389-7C44-BB09-E5ADB3CE24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Italic r:id="rId8" w:fontKey="{69CFC6EA-8707-1746-94B6-85764984B6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3FF8A" w14:textId="2F9FC4DE" w:rsidR="00CE6B94" w:rsidRPr="00CE6B94" w:rsidRDefault="00CE6B94">
    <w:pPr>
      <w:pStyle w:val="Footer"/>
      <w:rPr>
        <w:lang w:val="en-US"/>
      </w:rPr>
    </w:pPr>
    <w:r w:rsidRPr="00CE6B94">
      <w:rPr>
        <w:lang w:val="en-US"/>
      </w:rPr>
      <w:ptab w:relativeTo="margin" w:alignment="center" w:leader="none"/>
    </w:r>
    <w:r>
      <w:rPr>
        <w:lang w:val="en-US"/>
      </w:rPr>
      <w:fldChar w:fldCharType="begin"/>
    </w:r>
    <w:r>
      <w:rPr>
        <w:lang w:val="en-US"/>
      </w:rPr>
      <w:instrText xml:space="preserve"> PAGE  \* MERGEFORMAT </w:instrText>
    </w:r>
    <w:r>
      <w:rPr>
        <w:lang w:val="en-US"/>
      </w:rPr>
      <w:fldChar w:fldCharType="separate"/>
    </w:r>
    <w:r>
      <w:rPr>
        <w:noProof/>
        <w:lang w:val="en-US"/>
      </w:rPr>
      <w:t>2</w:t>
    </w:r>
    <w:r>
      <w:rPr>
        <w:lang w:val="en-US"/>
      </w:rPr>
      <w:fldChar w:fldCharType="end"/>
    </w:r>
    <w:r w:rsidRPr="00CE6B94">
      <w:rPr>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AAC1FB" w14:textId="77777777" w:rsidR="00F0281E" w:rsidRDefault="00F0281E">
      <w:r>
        <w:separator/>
      </w:r>
    </w:p>
  </w:footnote>
  <w:footnote w:type="continuationSeparator" w:id="0">
    <w:p w14:paraId="76E3589E" w14:textId="77777777" w:rsidR="00F0281E" w:rsidRDefault="00F028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7" w14:textId="77777777" w:rsidR="00F24B9E"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38" w14:textId="77777777" w:rsidR="00F24B9E" w:rsidRDefault="00F24B9E">
    <w:pPr>
      <w:pBdr>
        <w:top w:val="nil"/>
        <w:left w:val="nil"/>
        <w:bottom w:val="nil"/>
        <w:right w:val="nil"/>
        <w:between w:val="nil"/>
      </w:pBdr>
      <w:tabs>
        <w:tab w:val="center" w:pos="4320"/>
        <w:tab w:val="right" w:pos="864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83FAF" w14:textId="031E489E" w:rsidR="00E43AC8" w:rsidRDefault="00E43AC8" w:rsidP="00E43AC8">
    <w:pPr>
      <w:pBdr>
        <w:top w:val="nil"/>
        <w:left w:val="nil"/>
        <w:bottom w:val="nil"/>
        <w:right w:val="nil"/>
        <w:between w:val="nil"/>
      </w:pBdr>
      <w:tabs>
        <w:tab w:val="center" w:pos="4320"/>
        <w:tab w:val="right" w:pos="8640"/>
      </w:tabs>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B9E"/>
    <w:rsid w:val="001F5761"/>
    <w:rsid w:val="002D1704"/>
    <w:rsid w:val="0044489A"/>
    <w:rsid w:val="00677A1F"/>
    <w:rsid w:val="009E1CD4"/>
    <w:rsid w:val="00AA6376"/>
    <w:rsid w:val="00CE6B94"/>
    <w:rsid w:val="00E43AC8"/>
    <w:rsid w:val="00EE5855"/>
    <w:rsid w:val="00EF6634"/>
    <w:rsid w:val="00F0281E"/>
    <w:rsid w:val="00F24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FE89C"/>
  <w15:docId w15:val="{E775AEFE-5C9C-2B4D-9C48-C6C1AE779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outlineLvl w:val="0"/>
    </w:pPr>
    <w:rPr>
      <w:rFonts w:ascii="Calibri" w:eastAsia="Calibri" w:hAnsi="Calibri" w:cs="Calibri"/>
      <w:b/>
      <w:bCs/>
      <w:color w:val="335B8A"/>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A509AA"/>
    <w:pPr>
      <w:tabs>
        <w:tab w:val="center" w:pos="4320"/>
        <w:tab w:val="right" w:pos="8640"/>
      </w:tabs>
    </w:pPr>
  </w:style>
  <w:style w:type="character" w:customStyle="1" w:styleId="HeaderChar">
    <w:name w:val="Header Char"/>
    <w:basedOn w:val="DefaultParagraphFont"/>
    <w:link w:val="Header"/>
    <w:uiPriority w:val="99"/>
    <w:rsid w:val="00A509AA"/>
  </w:style>
  <w:style w:type="paragraph" w:styleId="Footer">
    <w:name w:val="footer"/>
    <w:basedOn w:val="Normal"/>
    <w:link w:val="FooterChar"/>
    <w:uiPriority w:val="99"/>
    <w:unhideWhenUsed/>
    <w:rsid w:val="00A509AA"/>
    <w:pPr>
      <w:tabs>
        <w:tab w:val="center" w:pos="4320"/>
        <w:tab w:val="right" w:pos="8640"/>
      </w:tabs>
    </w:pPr>
  </w:style>
  <w:style w:type="character" w:customStyle="1" w:styleId="FooterChar">
    <w:name w:val="Footer Char"/>
    <w:basedOn w:val="DefaultParagraphFont"/>
    <w:link w:val="Footer"/>
    <w:uiPriority w:val="99"/>
    <w:rsid w:val="00A509AA"/>
  </w:style>
  <w:style w:type="character" w:styleId="PageNumber">
    <w:name w:val="page number"/>
    <w:basedOn w:val="DefaultParagraphFont"/>
    <w:uiPriority w:val="99"/>
    <w:semiHidden/>
    <w:unhideWhenUsed/>
    <w:rsid w:val="0075199F"/>
  </w:style>
  <w:style w:type="character" w:customStyle="1" w:styleId="Heading1Char">
    <w:name w:val="Heading 1 Char"/>
    <w:basedOn w:val="DefaultParagraphFont"/>
    <w:link w:val="Heading1"/>
    <w:uiPriority w:val="9"/>
    <w:rsid w:val="0075199F"/>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75199F"/>
    <w:pPr>
      <w:spacing w:line="276" w:lineRule="auto"/>
      <w:outlineLvl w:val="9"/>
    </w:pPr>
    <w:rPr>
      <w:color w:val="365F91" w:themeColor="accent1" w:themeShade="BF"/>
      <w:sz w:val="28"/>
      <w:szCs w:val="28"/>
    </w:rPr>
  </w:style>
  <w:style w:type="paragraph" w:styleId="BalloonText">
    <w:name w:val="Balloon Text"/>
    <w:basedOn w:val="Normal"/>
    <w:link w:val="BalloonTextChar"/>
    <w:uiPriority w:val="99"/>
    <w:semiHidden/>
    <w:unhideWhenUsed/>
    <w:rsid w:val="007519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199F"/>
    <w:rPr>
      <w:rFonts w:ascii="Lucida Grande" w:hAnsi="Lucida Grande" w:cs="Lucida Grande"/>
      <w:sz w:val="18"/>
      <w:szCs w:val="18"/>
    </w:rPr>
  </w:style>
  <w:style w:type="paragraph" w:styleId="TOC1">
    <w:name w:val="toc 1"/>
    <w:basedOn w:val="Normal"/>
    <w:next w:val="Normal"/>
    <w:autoRedefine/>
    <w:uiPriority w:val="39"/>
    <w:semiHidden/>
    <w:unhideWhenUsed/>
    <w:rsid w:val="0075199F"/>
    <w:pPr>
      <w:spacing w:before="120"/>
    </w:pPr>
    <w:rPr>
      <w:b/>
    </w:rPr>
  </w:style>
  <w:style w:type="paragraph" w:styleId="TOC2">
    <w:name w:val="toc 2"/>
    <w:basedOn w:val="Normal"/>
    <w:next w:val="Normal"/>
    <w:autoRedefine/>
    <w:uiPriority w:val="39"/>
    <w:semiHidden/>
    <w:unhideWhenUsed/>
    <w:rsid w:val="0075199F"/>
    <w:pPr>
      <w:ind w:left="240"/>
    </w:pPr>
    <w:rPr>
      <w:b/>
      <w:sz w:val="22"/>
      <w:szCs w:val="22"/>
    </w:rPr>
  </w:style>
  <w:style w:type="paragraph" w:styleId="TOC3">
    <w:name w:val="toc 3"/>
    <w:basedOn w:val="Normal"/>
    <w:next w:val="Normal"/>
    <w:autoRedefine/>
    <w:uiPriority w:val="39"/>
    <w:semiHidden/>
    <w:unhideWhenUsed/>
    <w:rsid w:val="0075199F"/>
    <w:pPr>
      <w:ind w:left="480"/>
    </w:pPr>
    <w:rPr>
      <w:sz w:val="22"/>
      <w:szCs w:val="22"/>
    </w:rPr>
  </w:style>
  <w:style w:type="paragraph" w:styleId="TOC4">
    <w:name w:val="toc 4"/>
    <w:basedOn w:val="Normal"/>
    <w:next w:val="Normal"/>
    <w:autoRedefine/>
    <w:uiPriority w:val="39"/>
    <w:semiHidden/>
    <w:unhideWhenUsed/>
    <w:rsid w:val="0075199F"/>
    <w:pPr>
      <w:ind w:left="720"/>
    </w:pPr>
    <w:rPr>
      <w:sz w:val="20"/>
      <w:szCs w:val="20"/>
    </w:rPr>
  </w:style>
  <w:style w:type="paragraph" w:styleId="TOC5">
    <w:name w:val="toc 5"/>
    <w:basedOn w:val="Normal"/>
    <w:next w:val="Normal"/>
    <w:autoRedefine/>
    <w:uiPriority w:val="39"/>
    <w:semiHidden/>
    <w:unhideWhenUsed/>
    <w:rsid w:val="0075199F"/>
    <w:pPr>
      <w:ind w:left="960"/>
    </w:pPr>
    <w:rPr>
      <w:sz w:val="20"/>
      <w:szCs w:val="20"/>
    </w:rPr>
  </w:style>
  <w:style w:type="paragraph" w:styleId="TOC6">
    <w:name w:val="toc 6"/>
    <w:basedOn w:val="Normal"/>
    <w:next w:val="Normal"/>
    <w:autoRedefine/>
    <w:uiPriority w:val="39"/>
    <w:semiHidden/>
    <w:unhideWhenUsed/>
    <w:rsid w:val="0075199F"/>
    <w:pPr>
      <w:ind w:left="1200"/>
    </w:pPr>
    <w:rPr>
      <w:sz w:val="20"/>
      <w:szCs w:val="20"/>
    </w:rPr>
  </w:style>
  <w:style w:type="paragraph" w:styleId="TOC7">
    <w:name w:val="toc 7"/>
    <w:basedOn w:val="Normal"/>
    <w:next w:val="Normal"/>
    <w:autoRedefine/>
    <w:uiPriority w:val="39"/>
    <w:semiHidden/>
    <w:unhideWhenUsed/>
    <w:rsid w:val="0075199F"/>
    <w:pPr>
      <w:ind w:left="1440"/>
    </w:pPr>
    <w:rPr>
      <w:sz w:val="20"/>
      <w:szCs w:val="20"/>
    </w:rPr>
  </w:style>
  <w:style w:type="paragraph" w:styleId="TOC8">
    <w:name w:val="toc 8"/>
    <w:basedOn w:val="Normal"/>
    <w:next w:val="Normal"/>
    <w:autoRedefine/>
    <w:uiPriority w:val="39"/>
    <w:semiHidden/>
    <w:unhideWhenUsed/>
    <w:rsid w:val="0075199F"/>
    <w:pPr>
      <w:ind w:left="1680"/>
    </w:pPr>
    <w:rPr>
      <w:sz w:val="20"/>
      <w:szCs w:val="20"/>
    </w:rPr>
  </w:style>
  <w:style w:type="paragraph" w:styleId="TOC9">
    <w:name w:val="toc 9"/>
    <w:basedOn w:val="Normal"/>
    <w:next w:val="Normal"/>
    <w:autoRedefine/>
    <w:uiPriority w:val="39"/>
    <w:semiHidden/>
    <w:unhideWhenUsed/>
    <w:rsid w:val="0075199F"/>
    <w:pPr>
      <w:ind w:left="1920"/>
    </w:pPr>
    <w:rPr>
      <w:sz w:val="20"/>
      <w:szCs w:val="20"/>
    </w:rPr>
  </w:style>
  <w:style w:type="character" w:styleId="Hyperlink">
    <w:name w:val="Hyperlink"/>
    <w:basedOn w:val="DefaultParagraphFont"/>
    <w:uiPriority w:val="99"/>
    <w:unhideWhenUsed/>
    <w:rsid w:val="00B80AD1"/>
    <w:rPr>
      <w:color w:val="0000FF" w:themeColor="hyperlink"/>
      <w:u w:val="single"/>
    </w:rPr>
  </w:style>
  <w:style w:type="paragraph" w:styleId="ListParagraph">
    <w:name w:val="List Paragraph"/>
    <w:basedOn w:val="Normal"/>
    <w:uiPriority w:val="34"/>
    <w:qFormat/>
    <w:rsid w:val="00F31C80"/>
    <w:pPr>
      <w:ind w:left="720"/>
      <w:contextualSpacing/>
    </w:pPr>
  </w:style>
  <w:style w:type="character" w:customStyle="1" w:styleId="apple-converted-space">
    <w:name w:val="apple-converted-space"/>
    <w:basedOn w:val="DefaultParagraphFont"/>
    <w:rsid w:val="00522BFA"/>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xrG9zHBO64Xkh11wSG+3DuWN2w==">CgMxLjAyDmguNzFjbGN1Y2Y1NWk4OAByITFVM0NtRjVpdmlrbTBrcTVFVzdvRWhpLU5DQU9rYUFSYQ==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1748</Words>
  <Characters>9998</Characters>
  <Application>Microsoft Office Word</Application>
  <DocSecurity>0</DocSecurity>
  <Lines>169</Lines>
  <Paragraphs>37</Paragraphs>
  <ScaleCrop>false</ScaleCrop>
  <Company/>
  <LinksUpToDate>false</LinksUpToDate>
  <CharactersWithSpaces>11789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Richardson</dc:creator>
  <cp:lastModifiedBy>Lisa Hassler</cp:lastModifiedBy>
  <cp:revision>2</cp:revision>
  <cp:lastPrinted>2026-02-12T19:57:00Z</cp:lastPrinted>
  <dcterms:created xsi:type="dcterms:W3CDTF">2026-02-12T20:23:00Z</dcterms:created>
  <dcterms:modified xsi:type="dcterms:W3CDTF">2026-02-12T20:23:00Z</dcterms:modified>
</cp:coreProperties>
</file>